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Calibri" w:hAnsi="Calibri" w:cs="Calibri"/>
          <w:b/>
          <w:bCs/>
          <w:color w:val="auto"/>
          <w:sz w:val="20"/>
          <w:szCs w:val="20"/>
          <w:lang w:val="pt-PT"/>
        </w:rPr>
      </w:pPr>
      <w:r>
        <w:rPr>
          <w:lang w:val="pt-PT"/>
        </w:rPr>
        <w:drawing>
          <wp:inline distT="0" distB="0" distL="114300" distR="114300">
            <wp:extent cx="1658620" cy="1179195"/>
            <wp:effectExtent l="0" t="0" r="17780" b="1905"/>
            <wp:docPr id="1" name="Picture 1" descr="logo_ISDO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_ISDOM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Calibri" w:hAnsi="Calibri" w:cs="Calibri"/>
          <w:b/>
          <w:bCs/>
          <w:color w:val="auto"/>
          <w:sz w:val="20"/>
          <w:szCs w:val="20"/>
          <w:lang w:val="pt-PT"/>
        </w:rPr>
      </w:pPr>
      <w:r>
        <w:rPr>
          <w:rFonts w:hint="default" w:ascii="Calibri" w:hAnsi="Calibri" w:cs="Calibri"/>
          <w:b/>
          <w:bCs/>
          <w:color w:val="auto"/>
          <w:sz w:val="20"/>
          <w:szCs w:val="20"/>
          <w:lang w:val="pt-PT"/>
        </w:rPr>
        <w:t>CICLO DE ESTUDOS GESTÃO INDUSTRIAL E INOVAÇÃO TECNOLÓGICA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Calibri" w:hAnsi="Calibri" w:cs="Calibri"/>
          <w:b/>
          <w:bCs/>
          <w:color w:val="auto"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default" w:ascii="Calibri" w:hAnsi="Calibri" w:cs="Calibri"/>
          <w:b/>
          <w:bCs/>
          <w:color w:val="auto"/>
          <w:sz w:val="20"/>
          <w:szCs w:val="20"/>
          <w:lang w:val="pt-PT"/>
        </w:rPr>
      </w:pPr>
      <w:bookmarkStart w:id="0" w:name="_GoBack"/>
      <w:bookmarkEnd w:id="0"/>
      <w:r>
        <w:rPr>
          <w:rFonts w:hint="default" w:ascii="Calibri" w:hAnsi="Calibri" w:cs="Calibri"/>
          <w:b/>
          <w:bCs/>
          <w:color w:val="auto"/>
          <w:sz w:val="20"/>
          <w:szCs w:val="20"/>
          <w:lang w:val="pt-PT"/>
        </w:rPr>
        <w:t>EMPREGABILIDADE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Calibri" w:hAnsi="Calibri" w:cs="Calibri"/>
          <w:color w:val="auto"/>
          <w:sz w:val="20"/>
          <w:szCs w:val="20"/>
          <w:lang w:val="pt-P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Calibri" w:hAnsi="Calibri" w:cs="Calibri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  <w:t>Avaliação da empregabilidade dos graduados por ciclo de estudos similares com base em dados oficiais: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No que se refere à licenciatura em Gestão Industrial e Logística não existem dados sobre a previsível empr egabilidade.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Os dados disponibilizados pela DGES, que reportam a junho de 2012,referentes a ciclos de estudos com alguma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similaridade (Gestão Industrial) revelam uma taxa de desempegados a rondar os 5,6%.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O ISDOM situa-se exatamente na Marinha Grande região Centro onde se apresenta a m enor tx de desemprego em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relação à media nacional (cerca de 11.5%). Salientamos que é no sector industrial que estão empregues a maioria da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população.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 w:val="0"/>
          <w:iCs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  <w:t>Evaluation of the employability of graduates by similar study programmes, based on official data: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With regard to the degree in Industrial Management and Logistics no data on the expected employ ability. Data provided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by DGES, as of June 2012, relating to a course with some similarity (Industrial Management) reveal an unemployment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rate around 5.6%.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The ISDOM lies ex actly in Marinha Grande Central region where it has the lowest unemployment tx compared to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national average (about 11.5 % ) . We emphasize that it is in the industrial and Business Tecnologies sector where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graduates are employed in the area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 w:val="0"/>
          <w:iCs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  <w:t>Avaliação da capacidade de atrair estudantes baseada nos dados de acesso (DGES):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Não existem dados sobre a atratividade de ciclos de estudos em Gestão Industrial e In ovação Tecnológica entre 2010 e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2018. A análise da taxa de ocupação verificada nos últimos anos para ciclos de estudos similares (Gestão e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Engenharia Industrial) revela uma taxa de ocupação a rondar os 100%. Estes dados e o facto de não existir qualquer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oferta especifica semelhante no distrito de Leiria indiciam que o ciclo de estudos tem capacidade para atrair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candidatos à sua frequência.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ItalicMT" w:cs="Calibri"/>
          <w:b/>
          <w:i w:val="0"/>
          <w:iCs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  <w:t>Evaluation of the capability to attract students based on access data (DGES):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eastAsia="Arial-BoldMT" w:cs="Calibri"/>
          <w:b/>
          <w:i w:val="0"/>
          <w:iCs w:val="0"/>
          <w:color w:val="auto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jc w:val="both"/>
        <w:textAlignment w:val="auto"/>
        <w:outlineLvl w:val="9"/>
        <w:rPr>
          <w:rFonts w:hint="default" w:ascii="Calibri" w:hAnsi="Calibri" w:cs="Calibri"/>
          <w:b w:val="0"/>
          <w:bCs/>
          <w:i w:val="0"/>
          <w:iCs w:val="0"/>
          <w:color w:val="auto"/>
          <w:sz w:val="20"/>
          <w:szCs w:val="20"/>
        </w:rPr>
      </w:pP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There are no data about the attractiveness of courses of Industrial Managemen t and Logistics between 2010 and 2013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and 2018. The analysis of the occupancy rate recorded in the last three years to cycles of similar studies (Management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and Industrial Engineering) reveals an occupancy rate of around 100%. These data and the fact that there is no similar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provision in the district of Leiria indicate that the course of study has the capacity to attract candidates to their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  <w:lang w:val="pt-PT"/>
        </w:rPr>
        <w:t xml:space="preserve"> </w:t>
      </w:r>
      <w:r>
        <w:rPr>
          <w:rFonts w:hint="default" w:ascii="Calibri" w:hAnsi="Calibri" w:eastAsia="Arial-BoldItalicMT" w:cs="Calibri"/>
          <w:b w:val="0"/>
          <w:bCs/>
          <w:i w:val="0"/>
          <w:iCs w:val="0"/>
          <w:color w:val="auto"/>
          <w:sz w:val="20"/>
          <w:szCs w:val="20"/>
        </w:rPr>
        <w:t>frequency.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-BoldMT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-BoldItalicMT">
    <w:altName w:val="Segoe Print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MT">
    <w:altName w:val="Segoe Print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B2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B1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E0027B9"/>
    <w:rsid w:val="6F4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2020-02-04T12:39:00Z</dcterms:created>
  <dc:creator>cristina.simoes</dc:creator>
  <cp:lastModifiedBy>cristina.simoes</cp:lastModifiedBy>
  <dcterms:modified xsi:type="dcterms:W3CDTF">2020-02-04T12:43:47Z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