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lang w:val="pt-PT"/>
        </w:rPr>
        <w:drawing>
          <wp:inline distT="0" distB="0" distL="114300" distR="114300">
            <wp:extent cx="1658620" cy="1179195"/>
            <wp:effectExtent l="0" t="0" r="17780" b="1905"/>
            <wp:docPr id="1" name="Picture 1" descr="logo_ISDO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ISDOM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1º CICLO DE ESTUDOS DESIGN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SUCESSO ESCOLAR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Comparação do sucesso escolar nas diferentes áreas científicas do ciclo de estudos e respetivas unidades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curriculares.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2015-2016 a Média de Alunos aprovados foi de 88%, não se verificando nenhuma unidades curricular com média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inferior a 50%.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 unidade de D esign Industrial teve somente 33% de taxa de aprovação. A unidade curricular de Desenho V (da área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do Design) apresenta uma taxa de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aprovação de 50% de alunos aprov ados. A unidade de introdução às técnicas de Desenho que no ano anterior registou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uma taxa de 57% subiu no ano letivo de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2015-2016 para 71%. De um modo geral todas as unidades curriculares subiram a taxa de sucesso relativamente ao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ano letivo anterior: Introdução ao design, Introdução à Fotografia, Design assistido por Computador, História da Artes,Fotografia, Design, Geometria Descritiva II e Desenho I apresentam neste ano uma taxa de 83%. Todas as restantes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unidades curriculares apresentam uma taxa de sucesso escolar de 100%.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2016-2017 a Média de Alunos aprovados nas diversas unidades curric ulares foi muito positiva, apresentando uma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taxa de 92%. Design Industrial e Desenho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II, unidades da Área do Design apresentam uma taxa de sucesso de 75% e as unidades de Teoria e Crítica do Design 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Tecnologias do Design apresentam uma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taxa de sucesso de 85%.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Todas as restantes unida des curriculares apresentam uma taxa de sucesso escolar de 100%.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No ano lectivo de 2017-2018 a taxa de alunos aprovados nas diversas unidades curriculares f oi muito positiva, cerca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de 90%. Design Industrial e Desenho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II continuam a apresentar uma taxa d e sucesso na ordem dos 85 %. Também Desenho I. Todas as restantes unidades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curriculares apresentam uma taxa de sucesso escolar de 100%.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Comparison of the academic success in the different scientific areas of the study programme and the respective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curricular units.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2015-2016, the average number of students approved was 88%, with no curricular units with an average of less than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50%.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The I ndustrial Design unit had only a 33% approval rate. The curricular unit of Design V (from the Design area)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presents 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approval o f 50% of approved students. The unit of introduction to Drawing Techniques that in the previous year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registered a rate of 57% rose in the school year of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2015-2016 to 71%. In general, all curricular units h ave increased their success rate in relation to the previous school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year: Introduction to Design, Introduction to Photography, Computer Aided Design, History of Arts, Photography,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Design, Descriptive Geometry II and Design I present this year a rate of 83%. All other curricular units have a 100%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success rate.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2016-2017 t he average number of students approved in the various curricular units was very positive, presenting 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rate of 92%. Industrial Design and Design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Design units have a success rate of 75%, and Design and Design Critical success rate of 85%.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All other curricular units have a 100% success rate.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the academic year 2017-2018 the rate of students approved in the various curricular units was very positive, about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90%. Industrial Design and Design II continue to show a success rate in the order of 85%. Also Drawing I. All other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curricular units have a 100% success rate.</w:t>
      </w:r>
    </w:p>
    <w:p>
      <w:pPr>
        <w:spacing w:beforeLines="0" w:afterLines="0"/>
        <w:jc w:val="left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-BoldItalicMT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B766418"/>
    <w:rsid w:val="504A7813"/>
    <w:rsid w:val="6C914B43"/>
    <w:rsid w:val="7D7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2020-02-04T11:55:00Z</dcterms:created>
  <dc:creator>cristina.simoes</dc:creator>
  <cp:lastModifiedBy>cristina.simoes</cp:lastModifiedBy>
  <dcterms:modified xsi:type="dcterms:W3CDTF">2020-02-04T12:31:00Z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