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lang w:val="pt-PT"/>
        </w:rPr>
      </w:pPr>
      <w:r>
        <w:rPr>
          <w:lang w:val="pt-PT"/>
        </w:rPr>
        <w:drawing>
          <wp:inline distT="0" distB="0" distL="114300" distR="114300">
            <wp:extent cx="1658620" cy="1179195"/>
            <wp:effectExtent l="0" t="0" r="17780" b="1905"/>
            <wp:docPr id="1" name="Picture 1" descr="logo_ISD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ISDOM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CICLO DE ESTUDOS ENGENHARIA DA PRODUCAO INDUSTRIAL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EMPREGABILIDADE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bCs w:val="0"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bCs w:val="0"/>
          <w:color w:val="auto"/>
          <w:sz w:val="20"/>
          <w:szCs w:val="20"/>
        </w:rPr>
        <w:t>Dados sobre desemprego dos diplomados do ciclo de estudos (estatísticas da DGEEC ou estatísticas e estudos</w:t>
      </w:r>
      <w:r>
        <w:rPr>
          <w:rFonts w:hint="default" w:ascii="Calibri" w:hAnsi="Calibri" w:eastAsia="Arial-BoldMT" w:cs="Calibri"/>
          <w:b/>
          <w:b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MT" w:cs="Calibri"/>
          <w:b/>
          <w:bCs w:val="0"/>
          <w:color w:val="auto"/>
          <w:sz w:val="20"/>
          <w:szCs w:val="20"/>
        </w:rPr>
        <w:t>próprios, com indicação do ano e fonte de informação).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Anualmente são aplicados a todos os diplomados inquéritos de empregabilidade,procurando identificar um conjunto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 informações que permitam medir a empregabilidade, a satisfação com a formação e melhoria contínua e novas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necessidades formativas. Os dados do último inquérito foram recolhidos entre 10 e 17 de dez. de 2018, tendo sido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obtida uma taxa de resposta na ordem dos 100%. No referente à entrada na vida profissional ativa os dados indicam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que 15% dos diplomados do ISDOM começaram a trabalhar imediatamente. Por fim, 85% dos diplomados não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procurou emprego por já desenvolver atividade profissional na área da formação. 80% desenvolve uma atividade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profissional na área de formação Registe-se o fato de todos estarem em situação de emprego estável – 100%.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 empregabilidade no curso de Engenharia da Produção Industrial é de 100%. Registe-se que há procura por parte dos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empresários de alunos desta Licenciatura desde o 1º ano da frequência do ciclo de estudos.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Data on the unemployment of study programme graduates (statistics from the Ministry or own statistics and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studies, indicating the year and the data source).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Each year, all employability surveys are applied to all graduates, aiming at identifying a set of information to measure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employability, satisfaction with training and continuous improvement and new training needs. Data from the latest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survey were collected between 10 and 17 December. of 2018, with a response rate of around 100%. Concerning entry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into active professional life the data indicate that 15% of ISDOM graduates started working immediately. Finally, 85% of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graduates did not seek employment because they already have professional activity in the area of training. 80%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develop a professional activity in the area of training. Register the fact that everyone is in stable employment situation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- 100%.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Employ ability in the Industrial Production Engineering course is 100%. It should be noted that there is a demand on the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part of the entrepreneurs of students of this Degree since the first year of the study cycle.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Reflexão sobre os dados de empregabilidade.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Anualmente são aplicados a todos os diplomados inquéritos de empregabilidade.Os dados do último inquérito foram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recolhidos entre 10 e 17 de dezembro de 2018, tendo sido obtida uma taxa de resposta na ordem dos 100%. Os dados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foram tratados pelos Serviços competentes com recurso a ferramentas informáticas. No referente à entrada na vida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profissional ativa os dados indicam que 15% dos diplomados do ISDOM começaram a trabalhar imediatamente. 85%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dos diplomados não procurou emprego por já desenvolver atividade profissional na área da formação, e nenhum 0%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se encontra ainda à procura de emprego. Cerca de 60% obtiveram o seu 1º emprego através de estágio e 40% através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da criação do próprio emprego. Do universo de diplomados do ISDOM inquiridos 80% desenvolve uma atividade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profissional dentro da sua área de formação e 20% fora da sua área de formação. Registe-se o fato de todos estarem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situação de emprego estável – 100%.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Reflection on the employability data.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cs="Calibri"/>
          <w:b w:val="0"/>
          <w:bCs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Every year graduates are given employability surveys. Data from the latest survey were collected between 10 and 17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December 2018, with a response rate of 100%. The data were processed by the competent Services using computer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tools. Concerning entry into active professional life the data indicate that 15% of ISDOM graduates started working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immediately. 85% of graduates did not seek employment because they already have professional activity in the area of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training, and no 0% are still looking for work. About 60% obtained their first job through an internship and 40% through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their own job creation. 80% of the ISDOM graduates interviewed developed a professional activity within their training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area and 20% outside their training area. Note the fact that everyone is in stable employment situation - 100%.</w:t>
      </w:r>
    </w:p>
    <w:p>
      <w:pPr>
        <w:rPr>
          <w:b w:val="0"/>
          <w:bCs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BoldItalicMT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261AE"/>
    <w:rsid w:val="447261AE"/>
    <w:rsid w:val="498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2020-02-04T12:09:00Z</dcterms:created>
  <dc:creator>cristina.simoes</dc:creator>
  <cp:lastModifiedBy>cristina.simoes</cp:lastModifiedBy>
  <dcterms:modified xsi:type="dcterms:W3CDTF">2020-02-04T12:31:37Z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